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3BBCC" w14:textId="2DEE91BA" w:rsidR="00C41712" w:rsidRPr="00C41712" w:rsidRDefault="000E01DC" w:rsidP="00C41712">
      <w:pPr>
        <w:tabs>
          <w:tab w:val="left" w:pos="6375"/>
          <w:tab w:val="right" w:pos="9360"/>
        </w:tabs>
        <w:spacing w:after="0" w:line="264" w:lineRule="auto"/>
        <w:rPr>
          <w:rFonts w:ascii="Calibri" w:eastAsia="Arial" w:hAnsi="Calibri" w:cs="Arial"/>
          <w:b/>
          <w:color w:val="323E4F" w:themeColor="text2" w:themeShade="BF"/>
          <w:sz w:val="40"/>
          <w:szCs w:val="40"/>
        </w:rPr>
      </w:pPr>
      <w:r>
        <w:rPr>
          <w:rFonts w:ascii="Calibri" w:eastAsia="Arial" w:hAnsi="Calibri" w:cs="Arial"/>
          <w:b/>
          <w:color w:val="323E4F" w:themeColor="text2" w:themeShade="BF"/>
          <w:sz w:val="40"/>
          <w:szCs w:val="40"/>
        </w:rPr>
        <w:t>ICRMA EPL Resource Center</w:t>
      </w:r>
      <w:r w:rsidR="00BF1FBC">
        <w:rPr>
          <w:rFonts w:ascii="Calibri" w:eastAsia="Arial" w:hAnsi="Calibri" w:cs="Arial"/>
          <w:b/>
          <w:color w:val="323E4F" w:themeColor="text2" w:themeShade="BF"/>
          <w:sz w:val="40"/>
          <w:szCs w:val="40"/>
        </w:rPr>
        <w:t xml:space="preserve"> - </w:t>
      </w:r>
      <w:hyperlink r:id="rId7" w:history="1">
        <w:r w:rsidR="00BF1FBC" w:rsidRPr="00BF1FBC">
          <w:rPr>
            <w:rStyle w:val="Hyperlink"/>
            <w:color w:val="auto"/>
            <w:sz w:val="28"/>
            <w:szCs w:val="28"/>
          </w:rPr>
          <w:t>https://login.enquiron.com/icrma</w:t>
        </w:r>
      </w:hyperlink>
    </w:p>
    <w:p w14:paraId="47387985" w14:textId="77777777" w:rsidR="00C41712" w:rsidRDefault="00C41712" w:rsidP="00D320BE">
      <w:pPr>
        <w:spacing w:after="0" w:line="264" w:lineRule="auto"/>
        <w:jc w:val="both"/>
        <w:rPr>
          <w:rFonts w:asciiTheme="majorHAnsi" w:eastAsia="Arial" w:hAnsiTheme="majorHAnsi" w:cs="Arial"/>
          <w:b/>
          <w:color w:val="000000" w:themeColor="text1"/>
          <w:sz w:val="28"/>
          <w:szCs w:val="28"/>
        </w:rPr>
      </w:pPr>
    </w:p>
    <w:p w14:paraId="5C9AB92F" w14:textId="77777777" w:rsidR="00A73918" w:rsidRPr="00B61FBD" w:rsidRDefault="00A73918" w:rsidP="00D320BE">
      <w:pPr>
        <w:spacing w:after="0" w:line="264" w:lineRule="auto"/>
        <w:jc w:val="both"/>
        <w:rPr>
          <w:rFonts w:ascii="Calibri" w:eastAsia="Arial" w:hAnsi="Calibri" w:cs="Arial"/>
          <w:b/>
          <w:color w:val="767171" w:themeColor="background2" w:themeShade="80"/>
          <w:sz w:val="28"/>
          <w:szCs w:val="28"/>
        </w:rPr>
      </w:pPr>
      <w:r w:rsidRPr="00B61FBD">
        <w:rPr>
          <w:rFonts w:ascii="Calibri" w:eastAsia="Arial" w:hAnsi="Calibri" w:cs="Arial"/>
          <w:b/>
          <w:color w:val="767171" w:themeColor="background2" w:themeShade="80"/>
          <w:sz w:val="28"/>
          <w:szCs w:val="28"/>
        </w:rPr>
        <w:t>RESOURCE / SOLUTIONS GUIDE*</w:t>
      </w:r>
      <w:bookmarkStart w:id="0" w:name="_GoBack"/>
      <w:bookmarkEnd w:id="0"/>
    </w:p>
    <w:p w14:paraId="36BF200F" w14:textId="77777777" w:rsidR="00A73918" w:rsidRPr="00B61FBD" w:rsidRDefault="00A73918" w:rsidP="00D320BE">
      <w:pPr>
        <w:spacing w:after="0" w:line="264" w:lineRule="auto"/>
        <w:jc w:val="both"/>
        <w:rPr>
          <w:rFonts w:asciiTheme="majorHAnsi" w:eastAsia="Arial" w:hAnsiTheme="majorHAnsi" w:cs="Arial"/>
          <w:color w:val="767171" w:themeColor="background2" w:themeShade="80"/>
          <w:sz w:val="24"/>
          <w:szCs w:val="24"/>
        </w:rPr>
      </w:pPr>
    </w:p>
    <w:p w14:paraId="5D3DAD13" w14:textId="5E5DE24B" w:rsidR="00D320BE" w:rsidRPr="00B61FBD" w:rsidRDefault="00D320BE" w:rsidP="00D320BE">
      <w:pPr>
        <w:spacing w:after="0" w:line="264" w:lineRule="auto"/>
        <w:jc w:val="both"/>
        <w:rPr>
          <w:rFonts w:asciiTheme="majorHAnsi" w:eastAsia="Arial" w:hAnsiTheme="majorHAnsi" w:cs="Arial"/>
          <w:b/>
          <w:color w:val="767171" w:themeColor="background2" w:themeShade="80"/>
          <w:sz w:val="24"/>
          <w:szCs w:val="24"/>
        </w:rPr>
      </w:pPr>
      <w:r w:rsidRPr="00B61FBD">
        <w:rPr>
          <w:rFonts w:asciiTheme="majorHAnsi" w:eastAsia="Arial" w:hAnsiTheme="majorHAnsi" w:cs="Arial"/>
          <w:color w:val="767171" w:themeColor="background2" w:themeShade="80"/>
          <w:sz w:val="24"/>
          <w:szCs w:val="24"/>
        </w:rPr>
        <w:t xml:space="preserve">The </w:t>
      </w:r>
      <w:r w:rsidR="000E01DC" w:rsidRPr="00B61FBD">
        <w:rPr>
          <w:rFonts w:asciiTheme="majorHAnsi" w:eastAsia="Arial" w:hAnsiTheme="majorHAnsi" w:cs="Arial"/>
          <w:b/>
          <w:color w:val="2E74B5" w:themeColor="accent1" w:themeShade="BF"/>
          <w:sz w:val="24"/>
          <w:szCs w:val="24"/>
        </w:rPr>
        <w:t>ICRMA EPL Resource Center</w:t>
      </w:r>
      <w:r w:rsidR="000E01DC" w:rsidRPr="00B61FBD">
        <w:rPr>
          <w:rFonts w:asciiTheme="majorHAnsi" w:eastAsia="Arial" w:hAnsiTheme="majorHAnsi" w:cs="Arial"/>
          <w:color w:val="2E74B5" w:themeColor="accent1" w:themeShade="BF"/>
          <w:sz w:val="24"/>
          <w:szCs w:val="24"/>
        </w:rPr>
        <w:t xml:space="preserve"> </w:t>
      </w:r>
      <w:r w:rsidRPr="00B61FBD">
        <w:rPr>
          <w:rFonts w:asciiTheme="majorHAnsi" w:eastAsia="Arial" w:hAnsiTheme="majorHAnsi" w:cs="Arial"/>
          <w:color w:val="767171" w:themeColor="background2" w:themeShade="80"/>
          <w:sz w:val="24"/>
          <w:szCs w:val="24"/>
        </w:rPr>
        <w:t>helps members with the HR-related issues we all face on a regular basis</w:t>
      </w:r>
      <w:r w:rsidR="000C1DB0" w:rsidRPr="00B61FBD">
        <w:rPr>
          <w:rFonts w:asciiTheme="majorHAnsi" w:eastAsia="Arial" w:hAnsiTheme="majorHAnsi" w:cs="Arial"/>
          <w:color w:val="767171" w:themeColor="background2" w:themeShade="80"/>
          <w:sz w:val="24"/>
          <w:szCs w:val="24"/>
        </w:rPr>
        <w:t xml:space="preserve">.  Content on the portal is updated daily and the below is a snapshot of what’s available today (April 2, 2019):  </w:t>
      </w:r>
    </w:p>
    <w:p w14:paraId="222592A3" w14:textId="77777777" w:rsidR="00D320BE" w:rsidRDefault="00D320BE" w:rsidP="00314F5F">
      <w:pPr>
        <w:pStyle w:val="NoSpacing"/>
        <w:rPr>
          <w:b/>
          <w:sz w:val="28"/>
          <w:szCs w:val="28"/>
        </w:rPr>
      </w:pPr>
    </w:p>
    <w:p w14:paraId="16773DCD" w14:textId="77777777" w:rsidR="00AE5297" w:rsidRPr="00B61FBD" w:rsidRDefault="00AE5297" w:rsidP="00314F5F">
      <w:pPr>
        <w:pStyle w:val="NoSpacing"/>
        <w:rPr>
          <w:color w:val="2E74B5" w:themeColor="accent1" w:themeShade="BF"/>
        </w:rPr>
      </w:pPr>
      <w:r w:rsidRPr="00B61FBD">
        <w:rPr>
          <w:b/>
          <w:color w:val="2E74B5" w:themeColor="accent1" w:themeShade="BF"/>
          <w:sz w:val="28"/>
          <w:szCs w:val="28"/>
        </w:rPr>
        <w:t>SEXUAL HARASSMENT – RESOURCES AND TOOLS</w:t>
      </w:r>
    </w:p>
    <w:p w14:paraId="778A98FE" w14:textId="77777777" w:rsidR="0038754F" w:rsidRPr="00B61FBD" w:rsidRDefault="0038754F" w:rsidP="0038754F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>Articles</w:t>
      </w:r>
    </w:p>
    <w:p w14:paraId="1B1C38F8" w14:textId="77777777" w:rsidR="0038754F" w:rsidRPr="00B61FBD" w:rsidRDefault="0038754F" w:rsidP="0038754F">
      <w:pPr>
        <w:pStyle w:val="NoSpacing"/>
        <w:numPr>
          <w:ilvl w:val="0"/>
          <w:numId w:val="2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Sexual Harassment Allegations in Your Organization:  The Story is Hard to Believe or No Surprise</w:t>
      </w:r>
    </w:p>
    <w:p w14:paraId="24C23CC4" w14:textId="77777777" w:rsidR="0038754F" w:rsidRPr="00B61FBD" w:rsidRDefault="0038754F" w:rsidP="0038754F">
      <w:pPr>
        <w:pStyle w:val="NoSpacing"/>
        <w:numPr>
          <w:ilvl w:val="0"/>
          <w:numId w:val="2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4 Strategies to Prevent Workplace Sexual Harassment</w:t>
      </w:r>
    </w:p>
    <w:p w14:paraId="4AA1E74C" w14:textId="77777777" w:rsidR="0038754F" w:rsidRPr="00B61FBD" w:rsidRDefault="0038754F" w:rsidP="0038754F">
      <w:pPr>
        <w:pStyle w:val="NoSpacing"/>
        <w:numPr>
          <w:ilvl w:val="0"/>
          <w:numId w:val="2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What do 37 million sexual fantasies and an IPO have in common?</w:t>
      </w:r>
    </w:p>
    <w:p w14:paraId="40331C03" w14:textId="77777777" w:rsidR="0038754F" w:rsidRPr="00B61FBD" w:rsidRDefault="0038754F" w:rsidP="0038754F">
      <w:pPr>
        <w:pStyle w:val="NoSpacing"/>
        <w:numPr>
          <w:ilvl w:val="0"/>
          <w:numId w:val="2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 xml:space="preserve">Can repeated lunch invitations be consider sexual harassment?   </w:t>
      </w:r>
    </w:p>
    <w:p w14:paraId="03C66AEC" w14:textId="77777777" w:rsidR="0038754F" w:rsidRPr="00B61FBD" w:rsidRDefault="0038754F" w:rsidP="0038754F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>Best Practice Guide</w:t>
      </w:r>
    </w:p>
    <w:p w14:paraId="6E008C50" w14:textId="77777777" w:rsidR="0038754F" w:rsidRPr="00B61FBD" w:rsidRDefault="0038754F" w:rsidP="0038754F">
      <w:pPr>
        <w:pStyle w:val="NoSpacing"/>
        <w:numPr>
          <w:ilvl w:val="0"/>
          <w:numId w:val="3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Preventing Sexual Harassment in the Workplace</w:t>
      </w:r>
    </w:p>
    <w:p w14:paraId="2613DC30" w14:textId="77777777" w:rsidR="00314F5F" w:rsidRPr="00B61FBD" w:rsidRDefault="00314F5F" w:rsidP="00314F5F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>Deep Dive Podcast</w:t>
      </w:r>
    </w:p>
    <w:p w14:paraId="62F2F27B" w14:textId="77777777" w:rsidR="00314F5F" w:rsidRPr="00B61FBD" w:rsidRDefault="00314F5F" w:rsidP="00314F5F">
      <w:pPr>
        <w:pStyle w:val="NoSpacing"/>
        <w:numPr>
          <w:ilvl w:val="0"/>
          <w:numId w:val="1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Sexual Harassment Saga – 6 parts</w:t>
      </w:r>
    </w:p>
    <w:p w14:paraId="1D4D38BE" w14:textId="77777777" w:rsidR="00314F5F" w:rsidRPr="00B61FBD" w:rsidRDefault="00314F5F" w:rsidP="00314F5F">
      <w:pPr>
        <w:pStyle w:val="NoSpacing"/>
        <w:numPr>
          <w:ilvl w:val="1"/>
          <w:numId w:val="1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Part 1 – The Flirtatious Interview</w:t>
      </w:r>
    </w:p>
    <w:p w14:paraId="3686A59E" w14:textId="77777777" w:rsidR="00314F5F" w:rsidRPr="00B61FBD" w:rsidRDefault="00314F5F" w:rsidP="00314F5F">
      <w:pPr>
        <w:pStyle w:val="NoSpacing"/>
        <w:numPr>
          <w:ilvl w:val="1"/>
          <w:numId w:val="1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Part 2 – The Office Romance</w:t>
      </w:r>
    </w:p>
    <w:p w14:paraId="668C7B02" w14:textId="77777777" w:rsidR="00314F5F" w:rsidRPr="00B61FBD" w:rsidRDefault="00314F5F" w:rsidP="00314F5F">
      <w:pPr>
        <w:pStyle w:val="NoSpacing"/>
        <w:numPr>
          <w:ilvl w:val="1"/>
          <w:numId w:val="1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Part 3 – The Tit for Tat Arrangement</w:t>
      </w:r>
    </w:p>
    <w:p w14:paraId="3657E90C" w14:textId="77777777" w:rsidR="00314F5F" w:rsidRPr="00B61FBD" w:rsidRDefault="00314F5F" w:rsidP="00314F5F">
      <w:pPr>
        <w:pStyle w:val="NoSpacing"/>
        <w:numPr>
          <w:ilvl w:val="1"/>
          <w:numId w:val="1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Part 4 – The Complaint</w:t>
      </w:r>
    </w:p>
    <w:p w14:paraId="65944BB9" w14:textId="77777777" w:rsidR="00314F5F" w:rsidRPr="00B61FBD" w:rsidRDefault="00314F5F" w:rsidP="00314F5F">
      <w:pPr>
        <w:pStyle w:val="NoSpacing"/>
        <w:numPr>
          <w:ilvl w:val="1"/>
          <w:numId w:val="1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Part 5 – Sexy Social Media</w:t>
      </w:r>
    </w:p>
    <w:p w14:paraId="0529D44C" w14:textId="77777777" w:rsidR="00314F5F" w:rsidRPr="00B61FBD" w:rsidRDefault="000532C1" w:rsidP="000532C1">
      <w:pPr>
        <w:pStyle w:val="NoSpacing"/>
        <w:numPr>
          <w:ilvl w:val="1"/>
          <w:numId w:val="1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 xml:space="preserve">Part 6 - </w:t>
      </w:r>
      <w:r w:rsidRPr="00B61FBD">
        <w:rPr>
          <w:color w:val="767171" w:themeColor="background2" w:themeShade="80"/>
        </w:rPr>
        <w:tab/>
        <w:t xml:space="preserve"> </w:t>
      </w:r>
      <w:r w:rsidR="00314F5F" w:rsidRPr="00B61FBD">
        <w:rPr>
          <w:color w:val="767171" w:themeColor="background2" w:themeShade="80"/>
        </w:rPr>
        <w:t>Preventing Workplace Harassment</w:t>
      </w:r>
    </w:p>
    <w:p w14:paraId="30C22427" w14:textId="77777777" w:rsidR="00314F5F" w:rsidRPr="00B61FBD" w:rsidRDefault="00570130" w:rsidP="00314F5F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 xml:space="preserve">Federal </w:t>
      </w:r>
      <w:r w:rsidR="00314F5F" w:rsidRPr="00B61FBD">
        <w:rPr>
          <w:b/>
          <w:color w:val="767171" w:themeColor="background2" w:themeShade="80"/>
        </w:rPr>
        <w:t>Laws</w:t>
      </w:r>
      <w:r w:rsidR="0038754F" w:rsidRPr="00B61FBD">
        <w:rPr>
          <w:b/>
          <w:color w:val="767171" w:themeColor="background2" w:themeShade="80"/>
        </w:rPr>
        <w:t>/Resources</w:t>
      </w:r>
    </w:p>
    <w:p w14:paraId="22F1BD05" w14:textId="77777777" w:rsidR="00314F5F" w:rsidRPr="00B61FBD" w:rsidRDefault="00314F5F" w:rsidP="00314F5F">
      <w:pPr>
        <w:pStyle w:val="NoSpacing"/>
        <w:numPr>
          <w:ilvl w:val="0"/>
          <w:numId w:val="1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Protecting Young Victims from Sexual Abuse and Safe Sport Authorization Act of 2017</w:t>
      </w:r>
    </w:p>
    <w:p w14:paraId="2EED1BEB" w14:textId="77777777" w:rsidR="00570130" w:rsidRPr="00B61FBD" w:rsidRDefault="00570130" w:rsidP="00314F5F">
      <w:pPr>
        <w:pStyle w:val="NoSpacing"/>
        <w:numPr>
          <w:ilvl w:val="0"/>
          <w:numId w:val="1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 xml:space="preserve">Sexual Harassment – Equal </w:t>
      </w:r>
      <w:r w:rsidR="00AE5297" w:rsidRPr="00B61FBD">
        <w:rPr>
          <w:color w:val="767171" w:themeColor="background2" w:themeShade="80"/>
        </w:rPr>
        <w:t xml:space="preserve">Employee </w:t>
      </w:r>
      <w:r w:rsidRPr="00B61FBD">
        <w:rPr>
          <w:color w:val="767171" w:themeColor="background2" w:themeShade="80"/>
        </w:rPr>
        <w:t xml:space="preserve">Opportunity </w:t>
      </w:r>
      <w:r w:rsidR="00AE5297" w:rsidRPr="00B61FBD">
        <w:rPr>
          <w:color w:val="767171" w:themeColor="background2" w:themeShade="80"/>
        </w:rPr>
        <w:t xml:space="preserve">Commission (EEOC) </w:t>
      </w:r>
      <w:r w:rsidR="0038754F" w:rsidRPr="00B61FBD">
        <w:rPr>
          <w:color w:val="767171" w:themeColor="background2" w:themeShade="80"/>
        </w:rPr>
        <w:t>–</w:t>
      </w:r>
      <w:r w:rsidR="00AE5297" w:rsidRPr="00B61FBD">
        <w:rPr>
          <w:color w:val="767171" w:themeColor="background2" w:themeShade="80"/>
        </w:rPr>
        <w:t xml:space="preserve"> Guidelines</w:t>
      </w:r>
    </w:p>
    <w:p w14:paraId="5954DB90" w14:textId="77777777" w:rsidR="0038754F" w:rsidRPr="00B61FBD" w:rsidRDefault="0038754F" w:rsidP="0038754F">
      <w:pPr>
        <w:pStyle w:val="NoSpacing"/>
        <w:numPr>
          <w:ilvl w:val="0"/>
          <w:numId w:val="1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Domestic Violence, Harassment, Sexual Assault, Stalking Fact Sheet – EEOC</w:t>
      </w:r>
    </w:p>
    <w:p w14:paraId="2778114F" w14:textId="77777777" w:rsidR="00570130" w:rsidRPr="00B61FBD" w:rsidRDefault="00570130" w:rsidP="00314F5F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>State Laws</w:t>
      </w:r>
      <w:r w:rsidR="00AE5297" w:rsidRPr="00B61FBD">
        <w:rPr>
          <w:b/>
          <w:color w:val="767171" w:themeColor="background2" w:themeShade="80"/>
        </w:rPr>
        <w:t>/Resources</w:t>
      </w:r>
      <w:r w:rsidR="0038754F" w:rsidRPr="00B61FBD">
        <w:rPr>
          <w:b/>
          <w:color w:val="767171" w:themeColor="background2" w:themeShade="80"/>
        </w:rPr>
        <w:t xml:space="preserve"> - CA</w:t>
      </w:r>
    </w:p>
    <w:p w14:paraId="443CD00D" w14:textId="77777777" w:rsidR="00570130" w:rsidRPr="00B61FBD" w:rsidRDefault="00570130" w:rsidP="00570130">
      <w:pPr>
        <w:pStyle w:val="NoSpacing"/>
        <w:numPr>
          <w:ilvl w:val="0"/>
          <w:numId w:val="1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 xml:space="preserve">Notice of Rights – Victims of Domestic Violence, Sexual Assault, Stalking </w:t>
      </w:r>
    </w:p>
    <w:p w14:paraId="6C066015" w14:textId="77777777" w:rsidR="00AE5297" w:rsidRPr="00B61FBD" w:rsidRDefault="00AE5297" w:rsidP="00570130">
      <w:pPr>
        <w:pStyle w:val="NoSpacing"/>
        <w:numPr>
          <w:ilvl w:val="0"/>
          <w:numId w:val="1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Sexual Harassment Training Requirements Under AB 1825 – CA</w:t>
      </w:r>
    </w:p>
    <w:p w14:paraId="4BA0EBE8" w14:textId="77777777" w:rsidR="00AE5297" w:rsidRPr="00B61FBD" w:rsidRDefault="00AE5297" w:rsidP="00570130">
      <w:pPr>
        <w:pStyle w:val="NoSpacing"/>
        <w:numPr>
          <w:ilvl w:val="0"/>
          <w:numId w:val="1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FAQs AB 1825 Sexual Harassment Training – CA</w:t>
      </w:r>
    </w:p>
    <w:p w14:paraId="7786FADF" w14:textId="77777777" w:rsidR="00E13799" w:rsidRPr="00B61FBD" w:rsidRDefault="00E13799" w:rsidP="00570130">
      <w:pPr>
        <w:pStyle w:val="NoSpacing"/>
        <w:numPr>
          <w:ilvl w:val="0"/>
          <w:numId w:val="1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Megan’s Law - CA</w:t>
      </w:r>
    </w:p>
    <w:p w14:paraId="105323D1" w14:textId="77777777" w:rsidR="0038754F" w:rsidRPr="00B61FBD" w:rsidRDefault="0038754F" w:rsidP="0038754F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>Question of the Month (de-identified; includes attorney response)</w:t>
      </w:r>
    </w:p>
    <w:p w14:paraId="6091C47E" w14:textId="77777777" w:rsidR="0038754F" w:rsidRPr="00B61FBD" w:rsidRDefault="0038754F" w:rsidP="0038754F">
      <w:pPr>
        <w:pStyle w:val="NoSpacing"/>
        <w:numPr>
          <w:ilvl w:val="0"/>
          <w:numId w:val="1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 xml:space="preserve">What is the obligation of the employer when personal cell phones are used to share inappropriate or sexual content in the workplace? </w:t>
      </w:r>
    </w:p>
    <w:p w14:paraId="532BFF1F" w14:textId="77777777" w:rsidR="00AE5297" w:rsidRPr="00B61FBD" w:rsidRDefault="00AE5297" w:rsidP="00570130">
      <w:pPr>
        <w:pStyle w:val="NoSpacing"/>
        <w:numPr>
          <w:ilvl w:val="0"/>
          <w:numId w:val="1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 xml:space="preserve">Sexual Harassment Pamphlet </w:t>
      </w:r>
      <w:r w:rsidR="0038754F" w:rsidRPr="00B61FBD">
        <w:rPr>
          <w:color w:val="767171" w:themeColor="background2" w:themeShade="80"/>
        </w:rPr>
        <w:t>–</w:t>
      </w:r>
      <w:r w:rsidRPr="00B61FBD">
        <w:rPr>
          <w:color w:val="767171" w:themeColor="background2" w:themeShade="80"/>
        </w:rPr>
        <w:t xml:space="preserve"> CA</w:t>
      </w:r>
    </w:p>
    <w:p w14:paraId="59E730EF" w14:textId="77777777" w:rsidR="0038754F" w:rsidRPr="00B61FBD" w:rsidRDefault="00E13799" w:rsidP="0038754F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 xml:space="preserve">Solutions / Online </w:t>
      </w:r>
      <w:r w:rsidR="0038754F" w:rsidRPr="00B61FBD">
        <w:rPr>
          <w:b/>
          <w:color w:val="767171" w:themeColor="background2" w:themeShade="80"/>
        </w:rPr>
        <w:t>Training</w:t>
      </w:r>
      <w:r w:rsidR="000532C1" w:rsidRPr="00B61FBD">
        <w:rPr>
          <w:b/>
          <w:color w:val="767171" w:themeColor="background2" w:themeShade="80"/>
        </w:rPr>
        <w:t xml:space="preserve"> (this is under SOLUTIONS Tab)</w:t>
      </w:r>
    </w:p>
    <w:p w14:paraId="154D3783" w14:textId="77777777" w:rsidR="0038754F" w:rsidRPr="00B61FBD" w:rsidRDefault="0038754F" w:rsidP="0038754F">
      <w:pPr>
        <w:pStyle w:val="NoSpacing"/>
        <w:numPr>
          <w:ilvl w:val="0"/>
          <w:numId w:val="4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California Sexual Harassment Prevention (AB 1825)</w:t>
      </w:r>
    </w:p>
    <w:p w14:paraId="4E576BA3" w14:textId="77777777" w:rsidR="0038754F" w:rsidRPr="00B61FBD" w:rsidRDefault="0038754F" w:rsidP="0038754F">
      <w:pPr>
        <w:pStyle w:val="NoSpacing"/>
        <w:numPr>
          <w:ilvl w:val="0"/>
          <w:numId w:val="4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California Sexual Harassment Prevention – Spanish (AB 1825)</w:t>
      </w:r>
    </w:p>
    <w:p w14:paraId="0AC93E42" w14:textId="77777777" w:rsidR="0038754F" w:rsidRPr="00B61FBD" w:rsidRDefault="0038754F" w:rsidP="0038754F">
      <w:pPr>
        <w:pStyle w:val="NoSpacing"/>
        <w:numPr>
          <w:ilvl w:val="0"/>
          <w:numId w:val="4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Federal Sexual Harassment Prevention</w:t>
      </w:r>
    </w:p>
    <w:p w14:paraId="65662EFC" w14:textId="77777777" w:rsidR="0038754F" w:rsidRPr="00B61FBD" w:rsidRDefault="0038754F" w:rsidP="0038754F">
      <w:pPr>
        <w:pStyle w:val="NoSpacing"/>
        <w:numPr>
          <w:ilvl w:val="0"/>
          <w:numId w:val="4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Federal Sexual Harassment Prevention – Spanish</w:t>
      </w:r>
    </w:p>
    <w:p w14:paraId="1C255E8D" w14:textId="77777777" w:rsidR="00314F5F" w:rsidRPr="00B61FBD" w:rsidRDefault="00314F5F" w:rsidP="00314F5F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>Webinars</w:t>
      </w:r>
    </w:p>
    <w:p w14:paraId="60A91B5E" w14:textId="77777777" w:rsidR="00314F5F" w:rsidRPr="00B61FBD" w:rsidRDefault="00314F5F" w:rsidP="00314F5F">
      <w:pPr>
        <w:pStyle w:val="NoSpacing"/>
        <w:numPr>
          <w:ilvl w:val="0"/>
          <w:numId w:val="1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HR Essentials:  Sexual Harassment &amp; Bullying</w:t>
      </w:r>
    </w:p>
    <w:p w14:paraId="7AE5A83C" w14:textId="77777777" w:rsidR="005457DC" w:rsidRPr="00B61FBD" w:rsidRDefault="005457DC" w:rsidP="00AE5297">
      <w:pPr>
        <w:pStyle w:val="NoSpacing"/>
        <w:rPr>
          <w:b/>
          <w:color w:val="767171" w:themeColor="background2" w:themeShade="80"/>
          <w:sz w:val="28"/>
          <w:szCs w:val="28"/>
        </w:rPr>
      </w:pPr>
    </w:p>
    <w:p w14:paraId="60D79180" w14:textId="6DAF5891" w:rsidR="0038754F" w:rsidRPr="00B61FBD" w:rsidRDefault="000E01DC" w:rsidP="00AE5297">
      <w:pPr>
        <w:pStyle w:val="NoSpacing"/>
        <w:rPr>
          <w:b/>
          <w:color w:val="2E74B5" w:themeColor="accent1" w:themeShade="BF"/>
          <w:sz w:val="28"/>
          <w:szCs w:val="28"/>
        </w:rPr>
      </w:pPr>
      <w:r w:rsidRPr="00B61FBD">
        <w:rPr>
          <w:b/>
          <w:color w:val="2E74B5" w:themeColor="accent1" w:themeShade="BF"/>
          <w:sz w:val="28"/>
          <w:szCs w:val="28"/>
        </w:rPr>
        <w:lastRenderedPageBreak/>
        <w:t>INVESTIGATIONS</w:t>
      </w:r>
    </w:p>
    <w:p w14:paraId="39B708AE" w14:textId="598B8D6E" w:rsidR="000E01DC" w:rsidRPr="00B61FBD" w:rsidRDefault="000E01DC" w:rsidP="00AE5297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>Federal Resources</w:t>
      </w:r>
    </w:p>
    <w:p w14:paraId="59BDABA5" w14:textId="1236D6D4" w:rsidR="000E01DC" w:rsidRPr="00B61FBD" w:rsidRDefault="000E01DC" w:rsidP="000E01DC">
      <w:pPr>
        <w:pStyle w:val="NoSpacing"/>
        <w:numPr>
          <w:ilvl w:val="0"/>
          <w:numId w:val="1"/>
        </w:numPr>
        <w:rPr>
          <w:b/>
          <w:color w:val="767171" w:themeColor="background2" w:themeShade="80"/>
        </w:rPr>
      </w:pPr>
      <w:r w:rsidRPr="00B61FBD">
        <w:rPr>
          <w:color w:val="767171" w:themeColor="background2" w:themeShade="80"/>
        </w:rPr>
        <w:t>EEOC Investigations – What Every Employer Should Know</w:t>
      </w:r>
    </w:p>
    <w:p w14:paraId="26A8404C" w14:textId="224A92F8" w:rsidR="000E01DC" w:rsidRPr="00B61FBD" w:rsidRDefault="000E01DC" w:rsidP="00AE5297">
      <w:pPr>
        <w:pStyle w:val="NoSpacing"/>
        <w:numPr>
          <w:ilvl w:val="0"/>
          <w:numId w:val="1"/>
        </w:numPr>
        <w:rPr>
          <w:b/>
          <w:color w:val="767171" w:themeColor="background2" w:themeShade="80"/>
        </w:rPr>
      </w:pPr>
      <w:r w:rsidRPr="00B61FBD">
        <w:rPr>
          <w:color w:val="767171" w:themeColor="background2" w:themeShade="80"/>
        </w:rPr>
        <w:t>OSHA – Safety and Health Topics – Accident Investigation</w:t>
      </w:r>
    </w:p>
    <w:p w14:paraId="346500A0" w14:textId="3DD4C577" w:rsidR="000E01DC" w:rsidRPr="00B61FBD" w:rsidRDefault="000E01DC" w:rsidP="00AE5297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>Forms &amp; Documents</w:t>
      </w:r>
    </w:p>
    <w:p w14:paraId="3CC8A317" w14:textId="77777777" w:rsidR="000E01DC" w:rsidRPr="00B61FBD" w:rsidRDefault="000E01DC" w:rsidP="0038754F">
      <w:pPr>
        <w:pStyle w:val="NoSpacing"/>
        <w:numPr>
          <w:ilvl w:val="0"/>
          <w:numId w:val="3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Accident Investigation Form</w:t>
      </w:r>
    </w:p>
    <w:p w14:paraId="71605BC1" w14:textId="18ACE9EF" w:rsidR="000E01DC" w:rsidRPr="00B61FBD" w:rsidRDefault="000E01DC" w:rsidP="0038754F">
      <w:pPr>
        <w:pStyle w:val="NoSpacing"/>
        <w:numPr>
          <w:ilvl w:val="0"/>
          <w:numId w:val="3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Incident Investigation Form</w:t>
      </w:r>
    </w:p>
    <w:p w14:paraId="3A2AC5C5" w14:textId="0280FD0B" w:rsidR="00D320BE" w:rsidRPr="00B61FBD" w:rsidRDefault="000E01DC" w:rsidP="00D320BE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>Podcasts</w:t>
      </w:r>
    </w:p>
    <w:p w14:paraId="159B7A24" w14:textId="68A459FD" w:rsidR="000E01DC" w:rsidRPr="00B61FBD" w:rsidRDefault="000E01DC" w:rsidP="00D320BE">
      <w:pPr>
        <w:pStyle w:val="NoSpacing"/>
        <w:numPr>
          <w:ilvl w:val="0"/>
          <w:numId w:val="7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Tricky Employment Conversations – Part 4</w:t>
      </w:r>
      <w:r w:rsidRPr="00B61FBD">
        <w:rPr>
          <w:i/>
          <w:color w:val="767171" w:themeColor="background2" w:themeShade="80"/>
        </w:rPr>
        <w:t>: Conducting a Harassment Investigation</w:t>
      </w:r>
    </w:p>
    <w:p w14:paraId="041D2989" w14:textId="69BFD06E" w:rsidR="000E01DC" w:rsidRPr="00B61FBD" w:rsidRDefault="000E01DC" w:rsidP="000E01DC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>Question of the Month</w:t>
      </w:r>
    </w:p>
    <w:p w14:paraId="763EF75B" w14:textId="7EAC0664" w:rsidR="000E01DC" w:rsidRPr="00B61FBD" w:rsidRDefault="000E01DC" w:rsidP="00D320BE">
      <w:pPr>
        <w:pStyle w:val="NoSpacing"/>
        <w:numPr>
          <w:ilvl w:val="0"/>
          <w:numId w:val="7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Should you share investigation files with suspended employees?</w:t>
      </w:r>
    </w:p>
    <w:p w14:paraId="287E22E4" w14:textId="77777777" w:rsidR="000E01DC" w:rsidRPr="00B61FBD" w:rsidRDefault="000E01DC" w:rsidP="000E01DC">
      <w:pPr>
        <w:pStyle w:val="NoSpacing"/>
        <w:rPr>
          <w:color w:val="767171" w:themeColor="background2" w:themeShade="80"/>
        </w:rPr>
      </w:pPr>
    </w:p>
    <w:p w14:paraId="2D6EB236" w14:textId="77777777" w:rsidR="00037B65" w:rsidRPr="00B61FBD" w:rsidRDefault="00037B65" w:rsidP="00037B65">
      <w:pPr>
        <w:pStyle w:val="NoSpacing"/>
        <w:rPr>
          <w:color w:val="767171" w:themeColor="background2" w:themeShade="80"/>
        </w:rPr>
      </w:pPr>
    </w:p>
    <w:p w14:paraId="480C9776" w14:textId="77777777" w:rsidR="000C1DB0" w:rsidRPr="00B61FBD" w:rsidRDefault="000C1DB0" w:rsidP="00037B65">
      <w:pPr>
        <w:pStyle w:val="NoSpacing"/>
        <w:rPr>
          <w:b/>
          <w:color w:val="2E74B5" w:themeColor="accent1" w:themeShade="BF"/>
          <w:sz w:val="28"/>
          <w:szCs w:val="28"/>
        </w:rPr>
      </w:pPr>
      <w:r w:rsidRPr="00B61FBD">
        <w:rPr>
          <w:b/>
          <w:color w:val="2E74B5" w:themeColor="accent1" w:themeShade="BF"/>
          <w:sz w:val="28"/>
          <w:szCs w:val="28"/>
        </w:rPr>
        <w:t>COMPLAINTS</w:t>
      </w:r>
    </w:p>
    <w:p w14:paraId="40524EFF" w14:textId="7BB85944" w:rsidR="00037B65" w:rsidRPr="00B61FBD" w:rsidRDefault="000C1DB0" w:rsidP="00037B65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>Article</w:t>
      </w:r>
    </w:p>
    <w:p w14:paraId="55C8737F" w14:textId="77777777" w:rsidR="000C1DB0" w:rsidRPr="00B61FBD" w:rsidRDefault="000C1DB0" w:rsidP="00037B65">
      <w:pPr>
        <w:pStyle w:val="NoSpacing"/>
        <w:numPr>
          <w:ilvl w:val="0"/>
          <w:numId w:val="1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Saul Goodman protected Walter White from legal trouble, but all you’ll need is an internal complaint system</w:t>
      </w:r>
    </w:p>
    <w:p w14:paraId="7AA2E699" w14:textId="77777777" w:rsidR="000C1DB0" w:rsidRPr="00B61FBD" w:rsidRDefault="000C1DB0" w:rsidP="00D320BE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>Best Practice Guides</w:t>
      </w:r>
    </w:p>
    <w:p w14:paraId="43337FB9" w14:textId="710A2F0B" w:rsidR="00D320BE" w:rsidRPr="00B61FBD" w:rsidRDefault="000C1DB0" w:rsidP="00D320BE">
      <w:pPr>
        <w:pStyle w:val="NoSpacing"/>
        <w:numPr>
          <w:ilvl w:val="0"/>
          <w:numId w:val="6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Discrimination and Harassment Complaints – Guidelines for Handling</w:t>
      </w:r>
    </w:p>
    <w:p w14:paraId="2EBBB754" w14:textId="5FDD0D55" w:rsidR="000C1DB0" w:rsidRPr="00B61FBD" w:rsidRDefault="000C1DB0" w:rsidP="000C1DB0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>Podcasts</w:t>
      </w:r>
    </w:p>
    <w:p w14:paraId="3E557136" w14:textId="612E3E9D" w:rsidR="000C1DB0" w:rsidRPr="00B61FBD" w:rsidRDefault="000C1DB0" w:rsidP="000C1DB0">
      <w:pPr>
        <w:pStyle w:val="NoSpacing"/>
        <w:numPr>
          <w:ilvl w:val="0"/>
          <w:numId w:val="6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Sexual Harassment Saga – Part 4:  The Complaint</w:t>
      </w:r>
    </w:p>
    <w:p w14:paraId="2E033F8F" w14:textId="7E4A49FB" w:rsidR="000C1DB0" w:rsidRPr="00B61FBD" w:rsidRDefault="000C1DB0" w:rsidP="000C1DB0">
      <w:pPr>
        <w:pStyle w:val="NoSpacing"/>
        <w:numPr>
          <w:ilvl w:val="0"/>
          <w:numId w:val="6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Anonymous Complaints OK?</w:t>
      </w:r>
    </w:p>
    <w:p w14:paraId="03050EE9" w14:textId="2BDF836C" w:rsidR="000C1DB0" w:rsidRPr="00B61FBD" w:rsidRDefault="000C1DB0" w:rsidP="000C1DB0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>Question of the Month</w:t>
      </w:r>
    </w:p>
    <w:p w14:paraId="38C18F71" w14:textId="0C51F86F" w:rsidR="000C1DB0" w:rsidRPr="00B61FBD" w:rsidRDefault="000C1DB0" w:rsidP="000C1DB0">
      <w:pPr>
        <w:pStyle w:val="NoSpacing"/>
        <w:numPr>
          <w:ilvl w:val="0"/>
          <w:numId w:val="13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Does an accused employee have the right to review a written complaint against them?</w:t>
      </w:r>
    </w:p>
    <w:p w14:paraId="3FB481E2" w14:textId="77777777" w:rsidR="000C1DB0" w:rsidRPr="00B61FBD" w:rsidRDefault="000C1DB0" w:rsidP="000C1DB0">
      <w:pPr>
        <w:pStyle w:val="NoSpacing"/>
        <w:ind w:left="720"/>
        <w:rPr>
          <w:color w:val="767171" w:themeColor="background2" w:themeShade="80"/>
        </w:rPr>
      </w:pPr>
    </w:p>
    <w:p w14:paraId="0506DC1C" w14:textId="77777777" w:rsidR="0015441C" w:rsidRPr="00B61FBD" w:rsidRDefault="0015441C" w:rsidP="00E13799">
      <w:pPr>
        <w:pStyle w:val="NoSpacing"/>
        <w:ind w:left="720"/>
        <w:rPr>
          <w:color w:val="767171" w:themeColor="background2" w:themeShade="80"/>
        </w:rPr>
      </w:pPr>
    </w:p>
    <w:p w14:paraId="13DD807B" w14:textId="77777777" w:rsidR="001638F5" w:rsidRPr="00B61FBD" w:rsidRDefault="001638F5" w:rsidP="001638F5">
      <w:pPr>
        <w:pStyle w:val="NoSpacing"/>
        <w:rPr>
          <w:b/>
          <w:color w:val="2E74B5" w:themeColor="accent1" w:themeShade="BF"/>
          <w:sz w:val="28"/>
          <w:szCs w:val="28"/>
        </w:rPr>
      </w:pPr>
      <w:r w:rsidRPr="00B61FBD">
        <w:rPr>
          <w:b/>
          <w:color w:val="2E74B5" w:themeColor="accent1" w:themeShade="BF"/>
          <w:sz w:val="28"/>
          <w:szCs w:val="28"/>
        </w:rPr>
        <w:t>EMPLOYMENT PRACTICES – WRONGFUL TERMINATION</w:t>
      </w:r>
    </w:p>
    <w:p w14:paraId="3396AAA1" w14:textId="77777777" w:rsidR="001638F5" w:rsidRPr="00B61FBD" w:rsidRDefault="001638F5" w:rsidP="001638F5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>HR Express Updates – Question</w:t>
      </w:r>
      <w:r w:rsidR="00A73918" w:rsidRPr="00B61FBD">
        <w:rPr>
          <w:b/>
          <w:color w:val="767171" w:themeColor="background2" w:themeShade="80"/>
        </w:rPr>
        <w:t>s</w:t>
      </w:r>
      <w:r w:rsidRPr="00B61FBD">
        <w:rPr>
          <w:b/>
          <w:color w:val="767171" w:themeColor="background2" w:themeShade="80"/>
        </w:rPr>
        <w:t xml:space="preserve"> of the Month</w:t>
      </w:r>
    </w:p>
    <w:p w14:paraId="361CA1F4" w14:textId="77777777" w:rsidR="001638F5" w:rsidRPr="00B61FBD" w:rsidRDefault="001638F5" w:rsidP="001638F5">
      <w:pPr>
        <w:pStyle w:val="NoSpacing"/>
        <w:numPr>
          <w:ilvl w:val="0"/>
          <w:numId w:val="5"/>
        </w:numPr>
        <w:rPr>
          <w:i/>
          <w:color w:val="767171" w:themeColor="background2" w:themeShade="80"/>
        </w:rPr>
      </w:pPr>
      <w:r w:rsidRPr="00B61FBD">
        <w:rPr>
          <w:i/>
          <w:color w:val="767171" w:themeColor="background2" w:themeShade="80"/>
        </w:rPr>
        <w:t>Would you please provide us with information on how to avoid wrongful termination?</w:t>
      </w:r>
    </w:p>
    <w:p w14:paraId="782C41DD" w14:textId="77777777" w:rsidR="00A73918" w:rsidRPr="00B61FBD" w:rsidRDefault="00A73918" w:rsidP="001638F5">
      <w:pPr>
        <w:pStyle w:val="NoSpacing"/>
        <w:numPr>
          <w:ilvl w:val="0"/>
          <w:numId w:val="5"/>
        </w:numPr>
        <w:rPr>
          <w:i/>
          <w:color w:val="767171" w:themeColor="background2" w:themeShade="80"/>
        </w:rPr>
      </w:pPr>
      <w:r w:rsidRPr="00B61FBD">
        <w:rPr>
          <w:i/>
          <w:color w:val="767171" w:themeColor="background2" w:themeShade="80"/>
        </w:rPr>
        <w:t>What should be considered when terminating a long-term employee for performance issues</w:t>
      </w:r>
    </w:p>
    <w:p w14:paraId="54E7B963" w14:textId="77777777" w:rsidR="00A73918" w:rsidRPr="00B61FBD" w:rsidRDefault="00A73918" w:rsidP="001638F5">
      <w:pPr>
        <w:pStyle w:val="NoSpacing"/>
        <w:numPr>
          <w:ilvl w:val="0"/>
          <w:numId w:val="5"/>
        </w:numPr>
        <w:rPr>
          <w:i/>
          <w:color w:val="767171" w:themeColor="background2" w:themeShade="80"/>
        </w:rPr>
      </w:pPr>
      <w:r w:rsidRPr="00B61FBD">
        <w:rPr>
          <w:i/>
          <w:color w:val="767171" w:themeColor="background2" w:themeShade="80"/>
        </w:rPr>
        <w:t>We have an employee … if she doesn’t succeed at this job can we terminate her?</w:t>
      </w:r>
    </w:p>
    <w:p w14:paraId="58BFFFC7" w14:textId="77777777" w:rsidR="00A73918" w:rsidRPr="00B61FBD" w:rsidRDefault="00A73918" w:rsidP="001638F5">
      <w:pPr>
        <w:pStyle w:val="NoSpacing"/>
        <w:numPr>
          <w:ilvl w:val="0"/>
          <w:numId w:val="5"/>
        </w:numPr>
        <w:rPr>
          <w:i/>
          <w:color w:val="767171" w:themeColor="background2" w:themeShade="80"/>
        </w:rPr>
      </w:pPr>
      <w:r w:rsidRPr="00B61FBD">
        <w:rPr>
          <w:i/>
          <w:color w:val="767171" w:themeColor="background2" w:themeShade="80"/>
        </w:rPr>
        <w:t>Termination/discharge – what are the requirements for notice to employees over the age of 40?</w:t>
      </w:r>
    </w:p>
    <w:p w14:paraId="58C455F3" w14:textId="77777777" w:rsidR="00A73918" w:rsidRPr="00B61FBD" w:rsidRDefault="00A73918" w:rsidP="001638F5">
      <w:pPr>
        <w:pStyle w:val="NoSpacing"/>
        <w:numPr>
          <w:ilvl w:val="0"/>
          <w:numId w:val="5"/>
        </w:numPr>
        <w:rPr>
          <w:i/>
          <w:color w:val="767171" w:themeColor="background2" w:themeShade="80"/>
        </w:rPr>
      </w:pPr>
      <w:r w:rsidRPr="00B61FBD">
        <w:rPr>
          <w:i/>
          <w:color w:val="767171" w:themeColor="background2" w:themeShade="80"/>
        </w:rPr>
        <w:t xml:space="preserve">Preparing documentation for termination?  </w:t>
      </w:r>
    </w:p>
    <w:p w14:paraId="7F223140" w14:textId="77777777" w:rsidR="001638F5" w:rsidRPr="00B61FBD" w:rsidRDefault="001638F5" w:rsidP="001638F5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>State Laws / Resources – CA</w:t>
      </w:r>
    </w:p>
    <w:p w14:paraId="5DC86C9E" w14:textId="77777777" w:rsidR="001638F5" w:rsidRPr="00B61FBD" w:rsidRDefault="001638F5" w:rsidP="001638F5">
      <w:pPr>
        <w:pStyle w:val="NoSpacing"/>
        <w:numPr>
          <w:ilvl w:val="0"/>
          <w:numId w:val="5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Payment of Wages – upon Termination or Death  – CA</w:t>
      </w:r>
    </w:p>
    <w:p w14:paraId="6CFBD9B7" w14:textId="77777777" w:rsidR="001638F5" w:rsidRPr="00B61FBD" w:rsidRDefault="001638F5" w:rsidP="001638F5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 xml:space="preserve">Deep Dive Podcasts </w:t>
      </w:r>
    </w:p>
    <w:p w14:paraId="14DC260A" w14:textId="77777777" w:rsidR="001638F5" w:rsidRPr="00B61FBD" w:rsidRDefault="001638F5" w:rsidP="001638F5">
      <w:pPr>
        <w:pStyle w:val="NoSpacing"/>
        <w:numPr>
          <w:ilvl w:val="0"/>
          <w:numId w:val="5"/>
        </w:numPr>
        <w:rPr>
          <w:color w:val="767171" w:themeColor="background2" w:themeShade="80"/>
        </w:rPr>
      </w:pPr>
      <w:r w:rsidRPr="00B61FBD">
        <w:rPr>
          <w:i/>
          <w:color w:val="767171" w:themeColor="background2" w:themeShade="80"/>
        </w:rPr>
        <w:t>The Basics of Human Resources</w:t>
      </w:r>
      <w:r w:rsidRPr="00B61FBD">
        <w:rPr>
          <w:color w:val="767171" w:themeColor="background2" w:themeShade="80"/>
        </w:rPr>
        <w:t xml:space="preserve"> – Part 5:  Discipline and Termination</w:t>
      </w:r>
    </w:p>
    <w:p w14:paraId="5CABF81E" w14:textId="77777777" w:rsidR="001638F5" w:rsidRPr="00B61FBD" w:rsidRDefault="001638F5" w:rsidP="001638F5">
      <w:pPr>
        <w:pStyle w:val="NoSpacing"/>
        <w:numPr>
          <w:ilvl w:val="0"/>
          <w:numId w:val="5"/>
        </w:numPr>
        <w:rPr>
          <w:color w:val="767171" w:themeColor="background2" w:themeShade="80"/>
        </w:rPr>
      </w:pPr>
      <w:r w:rsidRPr="00B61FBD">
        <w:rPr>
          <w:i/>
          <w:color w:val="767171" w:themeColor="background2" w:themeShade="80"/>
        </w:rPr>
        <w:t xml:space="preserve">Tricky Employment Conversations </w:t>
      </w:r>
      <w:r w:rsidRPr="00B61FBD">
        <w:rPr>
          <w:color w:val="767171" w:themeColor="background2" w:themeShade="80"/>
        </w:rPr>
        <w:t>– Part 5:  Communicating a Termination or Layoff Decision</w:t>
      </w:r>
    </w:p>
    <w:p w14:paraId="4C5A705D" w14:textId="77777777" w:rsidR="001638F5" w:rsidRPr="00B61FBD" w:rsidRDefault="001638F5" w:rsidP="001638F5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>Federal Laws / Resources</w:t>
      </w:r>
    </w:p>
    <w:p w14:paraId="449574FB" w14:textId="77777777" w:rsidR="001638F5" w:rsidRPr="00B61FBD" w:rsidRDefault="001638F5" w:rsidP="001638F5">
      <w:pPr>
        <w:pStyle w:val="NoSpacing"/>
        <w:numPr>
          <w:ilvl w:val="0"/>
          <w:numId w:val="5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Termination Issues – Compliance Assistance</w:t>
      </w:r>
    </w:p>
    <w:p w14:paraId="34B588D1" w14:textId="77777777" w:rsidR="001638F5" w:rsidRPr="00B61FBD" w:rsidRDefault="001638F5" w:rsidP="001638F5">
      <w:pPr>
        <w:pStyle w:val="NoSpacing"/>
        <w:numPr>
          <w:ilvl w:val="0"/>
          <w:numId w:val="5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Veterans Reemployment Rights – Termination</w:t>
      </w:r>
    </w:p>
    <w:p w14:paraId="334E8647" w14:textId="77777777" w:rsidR="001638F5" w:rsidRPr="00B61FBD" w:rsidRDefault="001638F5" w:rsidP="001638F5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>Form / Document</w:t>
      </w:r>
    </w:p>
    <w:p w14:paraId="66822F27" w14:textId="77777777" w:rsidR="001638F5" w:rsidRPr="00B61FBD" w:rsidRDefault="001638F5" w:rsidP="001638F5">
      <w:pPr>
        <w:pStyle w:val="NoSpacing"/>
        <w:numPr>
          <w:ilvl w:val="0"/>
          <w:numId w:val="9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Termination Procedures Checklist</w:t>
      </w:r>
    </w:p>
    <w:p w14:paraId="2B57D172" w14:textId="77777777" w:rsidR="001638F5" w:rsidRPr="00B61FBD" w:rsidRDefault="001638F5" w:rsidP="001638F5">
      <w:pPr>
        <w:pStyle w:val="NoSpacing"/>
        <w:numPr>
          <w:ilvl w:val="0"/>
          <w:numId w:val="9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Termination Exit Interview and Checklist</w:t>
      </w:r>
    </w:p>
    <w:p w14:paraId="630AD9EE" w14:textId="77777777" w:rsidR="001638F5" w:rsidRPr="00B61FBD" w:rsidRDefault="001638F5" w:rsidP="001638F5">
      <w:pPr>
        <w:pStyle w:val="NoSpacing"/>
        <w:numPr>
          <w:ilvl w:val="0"/>
          <w:numId w:val="9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Termination Checklist</w:t>
      </w:r>
    </w:p>
    <w:p w14:paraId="32575F4C" w14:textId="77777777" w:rsidR="001638F5" w:rsidRPr="00B61FBD" w:rsidRDefault="001638F5" w:rsidP="001638F5">
      <w:pPr>
        <w:pStyle w:val="NoSpacing"/>
        <w:numPr>
          <w:ilvl w:val="0"/>
          <w:numId w:val="9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Termination Letter</w:t>
      </w:r>
    </w:p>
    <w:p w14:paraId="2E92A8DB" w14:textId="77777777" w:rsidR="00F73540" w:rsidRPr="00B61FBD" w:rsidRDefault="00F73540" w:rsidP="001638F5">
      <w:pPr>
        <w:pStyle w:val="NoSpacing"/>
        <w:rPr>
          <w:b/>
          <w:color w:val="767171" w:themeColor="background2" w:themeShade="80"/>
        </w:rPr>
      </w:pPr>
    </w:p>
    <w:p w14:paraId="5CEFA64C" w14:textId="0EC1742D" w:rsidR="001638F5" w:rsidRPr="00B61FBD" w:rsidRDefault="001638F5" w:rsidP="001638F5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lastRenderedPageBreak/>
        <w:t>Podcasts</w:t>
      </w:r>
    </w:p>
    <w:p w14:paraId="70CB9A95" w14:textId="77777777" w:rsidR="001638F5" w:rsidRPr="00B61FBD" w:rsidRDefault="001638F5" w:rsidP="001638F5">
      <w:pPr>
        <w:pStyle w:val="NoSpacing"/>
        <w:numPr>
          <w:ilvl w:val="0"/>
          <w:numId w:val="10"/>
        </w:numPr>
        <w:rPr>
          <w:i/>
          <w:color w:val="767171" w:themeColor="background2" w:themeShade="80"/>
        </w:rPr>
      </w:pPr>
      <w:r w:rsidRPr="00B61FBD">
        <w:rPr>
          <w:i/>
          <w:color w:val="767171" w:themeColor="background2" w:themeShade="80"/>
        </w:rPr>
        <w:t>Employee sharing compensation details, can we terminate?</w:t>
      </w:r>
    </w:p>
    <w:p w14:paraId="4DF63253" w14:textId="77777777" w:rsidR="001638F5" w:rsidRPr="00B61FBD" w:rsidRDefault="001638F5" w:rsidP="001638F5">
      <w:pPr>
        <w:pStyle w:val="NoSpacing"/>
        <w:numPr>
          <w:ilvl w:val="0"/>
          <w:numId w:val="10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Indefinite Leave – Can You Terminate?</w:t>
      </w:r>
    </w:p>
    <w:p w14:paraId="78F57F14" w14:textId="77777777" w:rsidR="001638F5" w:rsidRPr="00B61FBD" w:rsidRDefault="001638F5" w:rsidP="001638F5">
      <w:pPr>
        <w:pStyle w:val="NoSpacing"/>
        <w:numPr>
          <w:ilvl w:val="0"/>
          <w:numId w:val="10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Pregnant New Hire – Terminate?</w:t>
      </w:r>
    </w:p>
    <w:p w14:paraId="7D1915CD" w14:textId="77777777" w:rsidR="001638F5" w:rsidRPr="00B61FBD" w:rsidRDefault="001638F5" w:rsidP="001638F5">
      <w:pPr>
        <w:pStyle w:val="NoSpacing"/>
        <w:numPr>
          <w:ilvl w:val="0"/>
          <w:numId w:val="10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Documentation and Termination</w:t>
      </w:r>
    </w:p>
    <w:p w14:paraId="46665D45" w14:textId="77777777" w:rsidR="00A73918" w:rsidRPr="00B61FBD" w:rsidRDefault="00A73918" w:rsidP="00A73918">
      <w:pPr>
        <w:pStyle w:val="NoSpacing"/>
        <w:rPr>
          <w:b/>
          <w:color w:val="767171" w:themeColor="background2" w:themeShade="80"/>
        </w:rPr>
      </w:pPr>
      <w:r w:rsidRPr="00B61FBD">
        <w:rPr>
          <w:b/>
          <w:color w:val="767171" w:themeColor="background2" w:themeShade="80"/>
        </w:rPr>
        <w:t>Webinar</w:t>
      </w:r>
    </w:p>
    <w:p w14:paraId="60150D63" w14:textId="77777777" w:rsidR="00A73918" w:rsidRPr="00B61FBD" w:rsidRDefault="00A73918" w:rsidP="00A73918">
      <w:pPr>
        <w:pStyle w:val="NoSpacing"/>
        <w:numPr>
          <w:ilvl w:val="0"/>
          <w:numId w:val="11"/>
        </w:numPr>
        <w:rPr>
          <w:color w:val="767171" w:themeColor="background2" w:themeShade="80"/>
        </w:rPr>
      </w:pPr>
      <w:r w:rsidRPr="00B61FBD">
        <w:rPr>
          <w:color w:val="767171" w:themeColor="background2" w:themeShade="80"/>
        </w:rPr>
        <w:t>Termination:  Best Practices for Avoiding or Minimizing Retaliation and Discrimination Claims</w:t>
      </w:r>
    </w:p>
    <w:p w14:paraId="22AF6955" w14:textId="77777777" w:rsidR="001638F5" w:rsidRPr="00B61FBD" w:rsidRDefault="001638F5" w:rsidP="001638F5">
      <w:pPr>
        <w:pStyle w:val="NoSpacing"/>
        <w:rPr>
          <w:color w:val="767171" w:themeColor="background2" w:themeShade="80"/>
        </w:rPr>
      </w:pPr>
    </w:p>
    <w:p w14:paraId="3E68979A" w14:textId="77777777" w:rsidR="00037B65" w:rsidRPr="00B61FBD" w:rsidRDefault="00037B65" w:rsidP="00037B65">
      <w:pPr>
        <w:pStyle w:val="NoSpacing"/>
        <w:rPr>
          <w:color w:val="767171" w:themeColor="background2" w:themeShade="80"/>
        </w:rPr>
      </w:pPr>
    </w:p>
    <w:p w14:paraId="4D8CD1DA" w14:textId="77777777" w:rsidR="00037B65" w:rsidRPr="00B61FBD" w:rsidRDefault="00037B65" w:rsidP="00037B65">
      <w:pPr>
        <w:pStyle w:val="NoSpacing"/>
        <w:rPr>
          <w:color w:val="767171" w:themeColor="background2" w:themeShade="80"/>
        </w:rPr>
      </w:pPr>
    </w:p>
    <w:sectPr w:rsidR="00037B65" w:rsidRPr="00B61FBD" w:rsidSect="000E01DC">
      <w:headerReference w:type="default" r:id="rId8"/>
      <w:footerReference w:type="default" r:id="rId9"/>
      <w:pgSz w:w="12240" w:h="15840"/>
      <w:pgMar w:top="1440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73D81" w14:textId="77777777" w:rsidR="00941DDA" w:rsidRDefault="00941DDA" w:rsidP="0015441C">
      <w:pPr>
        <w:spacing w:after="0" w:line="240" w:lineRule="auto"/>
      </w:pPr>
      <w:r>
        <w:separator/>
      </w:r>
    </w:p>
  </w:endnote>
  <w:endnote w:type="continuationSeparator" w:id="0">
    <w:p w14:paraId="20CDC886" w14:textId="77777777" w:rsidR="00941DDA" w:rsidRDefault="00941DDA" w:rsidP="0015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6D41C" w14:textId="6CC77D89" w:rsidR="00A73918" w:rsidRPr="00A73918" w:rsidRDefault="00A73918" w:rsidP="00A73918">
    <w:pPr>
      <w:pStyle w:val="Footer"/>
      <w:rPr>
        <w:color w:val="C00000"/>
        <w:sz w:val="20"/>
        <w:szCs w:val="20"/>
      </w:rPr>
    </w:pPr>
    <w:r w:rsidRPr="00A73918">
      <w:rPr>
        <w:color w:val="C00000"/>
        <w:sz w:val="20"/>
        <w:szCs w:val="20"/>
      </w:rPr>
      <w:t>*content is updated regularly; use key terms in search bar for latest content</w:t>
    </w:r>
    <w:r>
      <w:rPr>
        <w:color w:val="C00000"/>
        <w:sz w:val="20"/>
        <w:szCs w:val="20"/>
      </w:rPr>
      <w:t xml:space="preserve">  </w:t>
    </w:r>
    <w:r>
      <w:rPr>
        <w:color w:val="C00000"/>
        <w:sz w:val="20"/>
        <w:szCs w:val="20"/>
      </w:rPr>
      <w:tab/>
    </w:r>
    <w:r w:rsidR="000C1DB0">
      <w:rPr>
        <w:color w:val="C00000"/>
        <w:sz w:val="20"/>
        <w:szCs w:val="20"/>
      </w:rPr>
      <w:t>APRIL</w:t>
    </w:r>
    <w:r>
      <w:rPr>
        <w:color w:val="C00000"/>
        <w:sz w:val="20"/>
        <w:szCs w:val="20"/>
      </w:rPr>
      <w:t xml:space="preserve"> 201</w:t>
    </w:r>
    <w:r w:rsidR="000C1DB0">
      <w:rPr>
        <w:color w:val="C00000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CF6C0" w14:textId="77777777" w:rsidR="00941DDA" w:rsidRDefault="00941DDA" w:rsidP="0015441C">
      <w:pPr>
        <w:spacing w:after="0" w:line="240" w:lineRule="auto"/>
      </w:pPr>
      <w:r>
        <w:separator/>
      </w:r>
    </w:p>
  </w:footnote>
  <w:footnote w:type="continuationSeparator" w:id="0">
    <w:p w14:paraId="0AA70EEA" w14:textId="77777777" w:rsidR="00941DDA" w:rsidRDefault="00941DDA" w:rsidP="0015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8D2DA" w14:textId="77777777" w:rsidR="0015441C" w:rsidRPr="005F1D40" w:rsidRDefault="0015441C" w:rsidP="000E01DC">
    <w:pPr>
      <w:spacing w:after="0" w:line="264" w:lineRule="auto"/>
      <w:jc w:val="right"/>
      <w:rPr>
        <w:rFonts w:asciiTheme="majorHAnsi" w:eastAsia="Arial" w:hAnsiTheme="majorHAnsi" w:cs="Arial"/>
        <w:b/>
        <w:color w:val="01B1AF"/>
        <w:sz w:val="36"/>
        <w:szCs w:val="36"/>
      </w:rPr>
    </w:pPr>
    <w:r>
      <w:rPr>
        <w:rFonts w:asciiTheme="majorHAnsi" w:eastAsia="Arial" w:hAnsiTheme="majorHAnsi" w:cs="Arial"/>
        <w:b/>
        <w:color w:val="01B1AF"/>
        <w:sz w:val="36"/>
        <w:szCs w:val="36"/>
      </w:rPr>
      <w:tab/>
    </w:r>
    <w:r w:rsidR="000E01DC">
      <w:rPr>
        <w:noProof/>
      </w:rPr>
      <w:drawing>
        <wp:inline distT="0" distB="0" distL="0" distR="0" wp14:anchorId="1DF310FD" wp14:editId="10DF8391">
          <wp:extent cx="126682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="Arial" w:hAnsiTheme="majorHAnsi" w:cs="Arial"/>
        <w:b/>
        <w:color w:val="01B1AF"/>
        <w:sz w:val="36"/>
        <w:szCs w:val="36"/>
      </w:rPr>
      <w:tab/>
    </w:r>
    <w:r>
      <w:rPr>
        <w:rFonts w:asciiTheme="majorHAnsi" w:eastAsia="Arial" w:hAnsiTheme="majorHAnsi" w:cs="Arial"/>
        <w:b/>
        <w:color w:val="01B1AF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6C9"/>
    <w:multiLevelType w:val="hybridMultilevel"/>
    <w:tmpl w:val="F29C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37FF"/>
    <w:multiLevelType w:val="hybridMultilevel"/>
    <w:tmpl w:val="FFCC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0228"/>
    <w:multiLevelType w:val="hybridMultilevel"/>
    <w:tmpl w:val="3D321662"/>
    <w:lvl w:ilvl="0" w:tplc="917CC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F7AD4"/>
    <w:multiLevelType w:val="hybridMultilevel"/>
    <w:tmpl w:val="C30A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3E7C"/>
    <w:multiLevelType w:val="hybridMultilevel"/>
    <w:tmpl w:val="A794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C7346"/>
    <w:multiLevelType w:val="hybridMultilevel"/>
    <w:tmpl w:val="2BDC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85664"/>
    <w:multiLevelType w:val="hybridMultilevel"/>
    <w:tmpl w:val="B8DC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935BF"/>
    <w:multiLevelType w:val="hybridMultilevel"/>
    <w:tmpl w:val="DDC8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A1C0C"/>
    <w:multiLevelType w:val="hybridMultilevel"/>
    <w:tmpl w:val="3CFE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A5EF4"/>
    <w:multiLevelType w:val="hybridMultilevel"/>
    <w:tmpl w:val="ED429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451E2"/>
    <w:multiLevelType w:val="hybridMultilevel"/>
    <w:tmpl w:val="3BA2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A2B0D"/>
    <w:multiLevelType w:val="hybridMultilevel"/>
    <w:tmpl w:val="7FEE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70526"/>
    <w:multiLevelType w:val="hybridMultilevel"/>
    <w:tmpl w:val="5CFE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5F"/>
    <w:rsid w:val="00037B65"/>
    <w:rsid w:val="000532C1"/>
    <w:rsid w:val="000C1DB0"/>
    <w:rsid w:val="000E01DC"/>
    <w:rsid w:val="00111F58"/>
    <w:rsid w:val="0015441C"/>
    <w:rsid w:val="001638F5"/>
    <w:rsid w:val="00205BC1"/>
    <w:rsid w:val="00314F5F"/>
    <w:rsid w:val="0038754F"/>
    <w:rsid w:val="005457DC"/>
    <w:rsid w:val="00570130"/>
    <w:rsid w:val="00941DDA"/>
    <w:rsid w:val="00A73918"/>
    <w:rsid w:val="00AE5297"/>
    <w:rsid w:val="00B61FBD"/>
    <w:rsid w:val="00BF1FBC"/>
    <w:rsid w:val="00C41712"/>
    <w:rsid w:val="00C801EC"/>
    <w:rsid w:val="00D320BE"/>
    <w:rsid w:val="00E13799"/>
    <w:rsid w:val="00EC635E"/>
    <w:rsid w:val="00F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71A5B"/>
  <w15:chartTrackingRefBased/>
  <w15:docId w15:val="{1812582C-8F7B-4946-8301-7E98B4E8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0B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F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1C"/>
  </w:style>
  <w:style w:type="paragraph" w:styleId="Footer">
    <w:name w:val="footer"/>
    <w:basedOn w:val="Normal"/>
    <w:link w:val="FooterChar"/>
    <w:uiPriority w:val="99"/>
    <w:unhideWhenUsed/>
    <w:rsid w:val="0015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1C"/>
  </w:style>
  <w:style w:type="character" w:styleId="Hyperlink">
    <w:name w:val="Hyperlink"/>
    <w:basedOn w:val="DefaultParagraphFont"/>
    <w:uiPriority w:val="99"/>
    <w:semiHidden/>
    <w:unhideWhenUsed/>
    <w:rsid w:val="00C801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enquiron.com/icr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Morgan</dc:creator>
  <cp:keywords/>
  <dc:description/>
  <cp:lastModifiedBy>Beth Lyons</cp:lastModifiedBy>
  <cp:revision>6</cp:revision>
  <dcterms:created xsi:type="dcterms:W3CDTF">2019-04-02T15:08:00Z</dcterms:created>
  <dcterms:modified xsi:type="dcterms:W3CDTF">2019-05-13T18:06:00Z</dcterms:modified>
</cp:coreProperties>
</file>